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0142</w:t>
      </w:r>
      <w:bookmarkStart w:id="11" w:name="_GoBack"/>
      <w:bookmarkEnd w:id="11"/>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default" w:ascii="Arial" w:hAnsi="Arial" w:cs="Arial"/>
          <w:b/>
          <w:bCs/>
          <w:lang w:val="en-US"/>
        </w:rPr>
        <w:t>Semantic-Driven Configuration Management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23ED34B2">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Semantic-Driven Configuration Management Scenarios</w:t>
      </w:r>
      <w:r>
        <w:rPr>
          <w:lang w:eastAsia="zh-CN"/>
        </w:rPr>
        <w:t>#</w:t>
      </w:r>
      <w:r>
        <w:rPr>
          <w:rFonts w:hint="eastAsia"/>
          <w:lang w:val="en-US" w:eastAsia="zh-CN"/>
        </w:rPr>
        <w:t>1</w:t>
      </w:r>
      <w:r>
        <w:rPr>
          <w:lang w:eastAsia="zh-CN"/>
        </w:rPr>
        <w:t>&gt;</w:t>
      </w:r>
    </w:p>
    <w:p w14:paraId="4B042682">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 xml:space="preserve">.1 Management Scenario #&lt;1&gt;: </w:t>
      </w:r>
      <w:r>
        <w:rPr>
          <w:rFonts w:ascii="Arial" w:hAnsi="Arial"/>
          <w:sz w:val="28"/>
          <w:lang w:eastAsia="zh-CN"/>
        </w:rPr>
        <w:t>&lt;</w:t>
      </w:r>
      <w:r>
        <w:rPr>
          <w:rFonts w:hint="default"/>
          <w:sz w:val="28"/>
          <w:lang w:eastAsia="zh-CN"/>
        </w:rPr>
        <w:t>Semantic Configuration Validation</w:t>
      </w:r>
      <w:r>
        <w:rPr>
          <w:rFonts w:ascii="Arial" w:hAnsi="Arial"/>
          <w:sz w:val="28"/>
          <w:lang w:eastAsia="zh-CN"/>
        </w:rPr>
        <w:t>&gt;</w:t>
      </w:r>
    </w:p>
    <w:p w14:paraId="07D8BE4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2EC452D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Semantic configuration verification scenario is a key enabling scenario for achieving the goals of "zero configuration error" and "intent consistency" in 6G networks. It aims to evolve from the traditional configuration management approach based on syntax checking, static rules, and manual experience review to an active defense paradigm of "intelligent pre-check - dynamic verification - autonomous correction" based on network semantic understanding, contextual correlation reasoning, and intent consistency assurance. This scenario relies on the semantic modeling and knowledge fusion of network-wide configuration data. These data not only include static configuration parameters (YANG model instances) of various network elements (gNB-6G, intelligent core network, switches, slice instances), but also deeply integrate network operational status (real-time topology, resource utilization, fault alarms), high-order business intents (such as slice SLA, service level agreement, security policy), physical and logical resource constraints (spectrum regulations, equipment capabilities, protocol compatibility), as well as causal knowledge of historical configuration changes and faults. Based on this, artificial intelligence technologies such as knowledge graphs, logical reasoning, and causal discovery are employed to conduct in-depth analysis and verification of the semantic correctness, intent compliance, cross-domain consistency, and potential risks of configurations before, during, and after the configuration issuance process. This prevents network anomalies caused by configuration errors at the source and ensures the precise implementation of business intents.</w:t>
      </w:r>
    </w:p>
    <w:p w14:paraId="3727CEE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For example, in the semantic configuration verification of end-to-end network slicing for multiple suppliers, traditional methods struggle to ensure semantic consistency of cross-domain configuration parameters when creating an end-to-end slice involving RAN equipment, transmission network, and core network virtualization functions from multiple suppliers. Semantic configuration verification involves building a unified knowledge graph for automated conflict detection and repair suggestions. The business process is as follows:</w:t>
      </w:r>
    </w:p>
    <w:p w14:paraId="617F84AB">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1. Intent and configuration semantic modeling: The slicing management process converts business intents (such as "creating a slice for autonomous driving services with an end-to-end latency &lt;10ms and reliability &gt;99.999%") into machine-understandable semantic models (such as using Ontology Web Language (OWL)). At the same time, each domain management system annotates and uploads local device configuration data (such as QoS parameters for gNBs, traffic engineering policies for switches, and packet processing rules for UPFs) according to a unified semantic model.</w:t>
      </w:r>
    </w:p>
    <w:p w14:paraId="2F6DC58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2. Knowledge Graph Construction and Fusion: The semantic verification engine receives semantic configuration data from various domains, and associates it with predefined network resource ontologies, protocol standard ontologies, and vendor equipment capability libraries, dynamically constructing a large-scale knowledge graph that covers physical resources, logical functions, business intentions, and configuration parameters. This graph explicitly expresses semantic relationships such as "Slice A uses the wireless bearer of gNB-1" and "The DSCP marking of the bearer must be consistent with the MPLS EXP mapping of the transmission network".</w:t>
      </w:r>
    </w:p>
    <w:p w14:paraId="4C0F4CCF">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3. Semantic reasoning and consistency verification: The verification engine performs a series of logical reasoning and rule checks based on the knowledge graph. For example, it can infer that if the slice intent requires extremely low latency, and the transmission device on a certain path is configured with a deep buffer queue, there is a semantic conflict between the two; or it may discover that the "5QI" value on the RAN side serving the same slice is not consistent with the "QFI" value on the core network side. The reasoning is not only based on static rules, but also combines real-time topology (such as the propagation delay caused by the current fiber length) for dynamic evaluation.</w:t>
      </w:r>
    </w:p>
    <w:p w14:paraId="0D66ABF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4. Conflict root cause analysis and repair suggestion generation: When a conflict or violation of intent is detected, the engine does not merely report an error. Instead, it utilizes the association relationships in the knowledge graph to trace the root cause. For example, it identifies that the delay exceeding the standard is due to the incompatibility between the default buffer configuration of a third-party transmission device and the low-delay intent. Subsequently, based on the knowledge base (such as the semantic library of device configuration manuals) and compatibility rules, the engine automatically generates specific and actionable repair suggestion configuration snippets for adoption by various domain management systems.</w:t>
      </w:r>
    </w:p>
    <w:p w14:paraId="4DA8C540">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5. Verification Pass and Safe Execution: Only when all semantic verification rules are passed, confirming that the configuration set is fully consistent with the business intent and there are no cross-domain conflicts, will the verification engine issue a "Semantic Verification Pass" certificate. With this certificate, the orchestrator or configuration management system can safely deliver the configuration to each network element. The delivery process can be tracked to ensure that the executed configuration version has been verified.</w:t>
      </w:r>
    </w:p>
    <w:p w14:paraId="4DD6B91A">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6. Runtime semantic drift monitoring and adaptation: During the slicing operation, the semantic verification engine continuously monitors the network status (such as actual latency and jitter) and compares it with the intent model. If a "semantic drift" is detected (such as the actual path not conforming to the low-latency assumption due to route changes), the engine will actively trigger an alert and may initiate an automated process for re-verification and configuration adjustment, ensuring that the network operating status remains consistent with the initial intent.</w:t>
      </w:r>
    </w:p>
    <w:p w14:paraId="6FAEF910">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.2 Potential Requirements</w:t>
      </w:r>
    </w:p>
    <w:p w14:paraId="28FF81E7">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0DB0394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machine-understandable association and modeling of business intentions and multi-domain configurations based on a unified semantic model.</w:t>
      </w:r>
    </w:p>
    <w:p w14:paraId="5A70694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be able to construct and utilize a knowledge graph encompassing configuration, resources, and intentions for cross-domain semantic reasoning and consistency verification.</w:t>
      </w:r>
    </w:p>
    <w:p w14:paraId="2F4851B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automatically detect semantic conflicts and intention violations before configuration deployment, and be capable of generating root cause analysis and specific remediation suggestions.</w:t>
      </w:r>
    </w:p>
    <w:p w14:paraId="144E3F3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continuous semantic drift monitoring and adaptive adjustment of the network's runtime status after the configuration takes effect.</w:t>
      </w:r>
    </w:p>
    <w:p w14:paraId="6F5E7D31">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0AF74E81">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11043D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1: Unified Semantic Modeling and Annotation of Intent and Configuration</w:t>
      </w:r>
    </w:p>
    <w:p w14:paraId="0C957A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achieve machine-understandable intent and configuration consistency analysis, the management system needs to address how to define a unified and formalized semantic model (ontology) for heterogeneous business intents, multi-vendor device configurations, and network operation contexts, and support standardized semantic annotation for existing data and configurations.</w:t>
      </w:r>
    </w:p>
    <w:p w14:paraId="3AF513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KI-1:</w:t>
      </w:r>
    </w:p>
    <w:p w14:paraId="0671EB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[Tech-Req-KI-1-1] The management system should support the definition and publication of a standardized network semantic ontology for formally describing business intentions (SLA, policies), network resources (devices, links, slices), configuration parameters (YANG data nodes), and the logical relationships between them (such as "requires", "conflictsWith", "implementedBy").</w:t>
      </w:r>
    </w:p>
    <w:p w14:paraId="0C514E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[Tech-Req-KI-1-2] The management system should provide standardized interfaces to enable various domain management systems (such as RAN, transmission, and core network) to annotate (such as adding semantic tags and associating with intent instances) the locally generated configuration data (YANG instances) according to a unified ontology, and upload it to the semantic verification engine.</w:t>
      </w:r>
    </w:p>
    <w:p w14:paraId="435087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[Tech-Req-KI-1-3] The management system should support the automatic conversion of high-level business intents expressed in natural language or structured descriptions into machine-understandable models that conform to standard semantic ontologies through an intent parsing service.</w:t>
      </w:r>
    </w:p>
    <w:p w14:paraId="6E3A41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319F6D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2: Construction, Maintenance and Utilization of a Cross-domain Knowledge Graph</w:t>
      </w:r>
    </w:p>
    <w:p w14:paraId="592C1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support deep semantic reasoning, the management system needs to address how to dynamically aggregate semantic data from multiple domains, construct and maintain a knowledge graph that is updated in real-time and includes configurations, intentions, resources, and real-time states, and enable it to be efficiently queried and reasoned by the verification engine.</w:t>
      </w:r>
    </w:p>
    <w:p w14:paraId="0FBF74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KI-2:</w:t>
      </w:r>
    </w:p>
    <w:p w14:paraId="608CC3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[Tech-Req-KI-2-1] The management system should support a semantic verification engine to dynamically collect semantic configuration data, real-time network topology, and performance data from various domains, and construct a global knowledge graph based on unified ontology integration.</w:t>
      </w:r>
    </w:p>
    <w:p w14:paraId="1CD0ED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[Tech-Req-KI-2-2] The management system should maintain a scalable "knowledge base" that includes protocol standard semantics, vendor equipment capabilities and constraints (semantics-based configuration templates), as well as historical configuration-fault causality rules, for reference during knowledge graph construction and reasoning.</w:t>
      </w:r>
    </w:p>
    <w:p w14:paraId="2A3BC6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[Tech-Req-KI-2-3] The management system should provide a standardized query interface for the knowledge graph, enabling the verification engine or other authorized components to efficiently retrieve entities, relationships, and perform graph pattern matching.</w:t>
      </w:r>
    </w:p>
    <w:p w14:paraId="5F9DDC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158EFF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3: Semantic Reasoning, Conflict Detection and Proactive Remediation</w:t>
      </w:r>
    </w:p>
    <w:p w14:paraId="071F1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proactively prevent configuration errors, the management system needs to address how to perform logical reasoning and rule checking based on the knowledge graph, in order to automatically detect semantic conflicts and intention violations, further identify the root causes, and generate specific repair suggestions.</w:t>
      </w:r>
    </w:p>
    <w:p w14:paraId="753A47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KI-3:</w:t>
      </w:r>
    </w:p>
    <w:p w14:paraId="13DF0A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[Tech-Req-KI-3-1] The management system should integrate a semantic reasoning engine that supports reasoning on the knowledge graph based on predefined logical rules (such as OWL RL, SWRL) or programmable strategies, in order to identify issues such as cross-domain configuration inconsistencies, mismatches between configuration and intent, and violations of resource constraints.</w:t>
      </w:r>
    </w:p>
    <w:p w14:paraId="6226FB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[Tech-Req-KI-3-2] When a conflict or violation is detected, the management system should require the verification engine to output a standardized diagnostic report, which not only specifies the conflict points but also utilizes the association relationships in the knowledge graph to conduct root cause analysis.</w:t>
      </w:r>
    </w:p>
    <w:p w14:paraId="37085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[Tech-Req-KI-3-3] The management system should support a verification engine that automatically generates specific and actionable configuration repair suggestions or alternative solutions for detected issues, based on compatibility rules and best practices in the knowledge base.</w:t>
      </w:r>
    </w:p>
    <w:p w14:paraId="529865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08E281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4: Lifecycle Assurance: From Pre-validation to Runtime Semantic Drift Monitoring</w:t>
      </w:r>
    </w:p>
    <w:p w14:paraId="324B87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ensure that the configuration remains consistent with the intended purpose throughout its lifecycle, the management system needs to address how to establish a closed loop from "pre-issuance verification" to "continuous monitoring after issuance". It should perform security authorization during configuration execution and detect "semantic drift" during runtime to trigger adaptive adjustments.</w:t>
      </w:r>
    </w:p>
    <w:p w14:paraId="32AFB5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KI-4:</w:t>
      </w:r>
    </w:p>
    <w:p w14:paraId="033391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[Tech-Req-KI-4-1] The management system should establish a "verification-execution" linkage mechanism. The configuration orchestrator or configuration management (CM) function must only deliver the configuration to the network element after receiving a "verification pass certificate" issued by the semantic verification engine in a standard format.</w:t>
      </w:r>
    </w:p>
    <w:p w14:paraId="1074FE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[Tech-Req-KI-4-2] The management system should support a semantic verification engine that continuously compares network operational status data (KPIs, alarms) with the intent model after the configuration takes effect, automatically detecting "semantic drift" (i.e., the operational status deviating from the verified semantic assumptions).</w:t>
      </w:r>
    </w:p>
    <w:p w14:paraId="661BB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宋体"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[Tech-Req-KI-4-3] When significant semantic drift is detected, the management system should automatically trigger an alert and initiate a revalidation process. If necessary, it should generate configuration adjustment suggestions and facilitate their implementation, in order to bring the network state back to a trajectory consistent with the intended purpose.</w:t>
      </w:r>
    </w:p>
    <w:p w14:paraId="078B50C6">
      <w:pPr>
        <w:rPr>
          <w:lang w:eastAsia="zh-CN"/>
        </w:rPr>
      </w:pPr>
    </w:p>
    <w:p w14:paraId="4E77C72D">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 Management Scenario #&lt;2&gt;: &lt;</w:t>
      </w:r>
      <w:r>
        <w:rPr>
          <w:rFonts w:hint="default"/>
          <w:sz w:val="28"/>
          <w:lang w:eastAsia="zh-CN"/>
        </w:rPr>
        <w:t>Semantic Configuration Consistency Checking</w:t>
      </w:r>
      <w:r>
        <w:rPr>
          <w:sz w:val="28"/>
          <w:lang w:eastAsia="zh-CN"/>
        </w:rPr>
        <w:t>&gt;</w:t>
      </w:r>
    </w:p>
    <w:p w14:paraId="0412383F">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.2.1 Description</w:t>
      </w:r>
    </w:p>
    <w:p w14:paraId="766C1689">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The semantic configuration consistency check scenario is a key enabling scenario for achieving the goals of "global collaboration" and "conflict-free operation" in 6G networks. It aims to evolve from the traditional static mode based on isolated configuration item syntax checking and limited association rule checking to an intelligent assurance paradigm of "association perception-conflict prediction-collaborative correction", which is based on global configuration semantic association understanding, cross-layer and cross-domain logical conflict dynamic detection, and self-healing. This scenario relies on the semantic abstraction and association modeling of network-wide discrete configuration data to construct a "configuration association graph" that dynamically reflects the complex logical relationships between configurations. The configurations being checked not only include parameter combinations within a single device (such as the matching of radio resource block allocation and power control), but more importantly, they encompass semantic dependencies and constraints across network elements (such as QoS mapping between gNBs and core network UPFs), across protocol layers (such as physical layer frame structure and link layer retransmission mechanism), across management domains (such as RAN slicing strategy and transport network tunnel configuration), and across technical standards (such as 6G new air interface parameters and 4G/5G legacy network interoperability parameters). Based on this, artificial intelligence technologies such as graph reasoning, logic programming, and causal analysis are employed to perform continuous or triggered deep scanning and association analysis of the network configuration set, proactively discovering and warning of potential semantic conflicts, logical contradictions, and adaptation mismatches, ensuring the overall behavioral consistency and end-to-end service experience of the network under complex configuration combinations.</w:t>
      </w:r>
    </w:p>
    <w:p w14:paraId="1C646BC9">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For example, in the cross-layer and cross-domain configuration consistency check for the integrated communication, sensing, and computing network, communication, sensing, and computing tasks share physical resources on the integrated communication, sensing, and computing nodes. Their configuration parameters (such as waveform, time slot, beam, and computing task scheduling priority) are highly coupled, and any change in configuration may trigger cross-layer conflicts. Semantic consistency check ensures that these configurations work together. The business process is as follows:</w:t>
      </w:r>
    </w:p>
    <w:p w14:paraId="2A422BC9">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1. Global configuration semantic association modeling: The network management platform collects configuration data from integrated sensing, computing, and communication nodes, RAN controllers, edge computing managers, and core network policy controllers. The system utilizes a unified semantic model to extract and associate these configurations (such as "sensing beam scanning period is 20ms", "URLLC service reserved time slot period is 10ms", "edge AI inference task priority is the highest") and their attributes (belonging functional domain, impacting resources, time/space constraints), to construct a configuration association knowledge graph that explicitly expresses relationships such as "resource competition", "temporal dependency", and "policy priority".</w:t>
      </w:r>
    </w:p>
    <w:p w14:paraId="6056B9BC">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2. Dynamic conflict rule triggering and graph update: When the network state changes (such as adding a new high-priority perception task) or operation and maintenance personnel attempt to submit a configuration change (such as adjusting the time slot allocation ratio of URLLC services), the related event triggers the consistency check engine. The engine first semanticizes the new configuration or state and updates it in real-time to the configuration-related knowledge graph, identifying the affected configuration nodes and relationship edges.</w:t>
      </w:r>
    </w:p>
    <w:p w14:paraId="12267192">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3. Conflict Detection Based on Graph Traversal and Logical Reasoning: The inspection engine executes predefined and dynamically generated conflict detection rules based on the updated graph. For example, a rule may be expressed as: "If a physical time slot is simultaneously marked as 'for sensing beam transmission' and 'for URLLC data transmission', and the geographical locations of the entities to which they belong overlap, then it constitutes a 'hard resource conflict'." The engine quickly locates such direct conflicts caused by resource competition through graph traversal. Furthermore, it can perform multi-hop reasoning to discover indirect conflicts: for example, "sensing tasks occupying computational resources" lead to "edge AI reasoning task delays", which in turn violate the "eMBB slice latency SLA associated with this AI service".</w:t>
      </w:r>
    </w:p>
    <w:p w14:paraId="6361E7A8">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4. Conflict Impact Assessment and Root Cause Identification: For detected conflicts, the engine not only reports their existence but also utilizes the rich association attributes of the graph to assess their impact scope and severity level (e.g., whether they are fatal conflicts that cause business interruptions or optimization conflicts that only affect performance). Simultaneously, by analyzing the connection paths of conflict nodes in the graph, the root source configuration item of the conflict is precisely identified (for instance, the root cause is that a certain perception task is configured with an excessively high refresh rate, rather than improper configuration of the URLLC service).</w:t>
      </w:r>
    </w:p>
    <w:p w14:paraId="748663F4">
      <w:p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5. Consistency repair suggestions and collaborative tuning: Based on the conflict type and root cause, the engine automatically generates one or multiple sets of repair suggestions in combination with the network policy library (such as the guarantee rule of "communication service priority over perception service"). These suggestions are not isolated configuration modifications, but a set of cross-domain collaborative adjustment schemes (for example: "It is recommended to adjust the perception beam scanning period from 20ms to 25ms, reduce the URLLC time slot ratio by 5%, and reserve dedicated threads for AI tasks in the edge computing queue"). The scheme aims to eliminate conflicts while maintaining the original intention of each service as much as possible.</w:t>
      </w:r>
    </w:p>
    <w:p w14:paraId="7798A1C2">
      <w:pPr>
        <w:ind w:firstLine="420" w:firstLineChars="200"/>
        <w:jc w:val="both"/>
        <w:rPr>
          <w:lang w:eastAsia="zh-CN"/>
        </w:rPr>
      </w:pPr>
      <w:r>
        <w:rPr>
          <w:rFonts w:hint="eastAsia" w:ascii="Segoe UI" w:hAnsi="Segoe UI" w:eastAsia="Segoe UI" w:cs="Segoe UI"/>
          <w:color w:val="0F1115"/>
          <w:sz w:val="21"/>
          <w:szCs w:val="21"/>
          <w:shd w:val="clear" w:fill="FFFFFF"/>
          <w:lang w:val="en-US" w:eastAsia="zh-CN" w:bidi="ar"/>
        </w:rPr>
        <w:t>6. Closed-loop verification and continuous monitoring: After adopting the remediation suggestions and implementing configuration changes, the consistency check engine does not terminate. It enters a continuous monitoring mode, tracking the actual operational effects (KPIs) of the changed configuration and comparing them with the expected state in the knowledge graph. Any deviations will be recorded and used to optimize conflict detection rules and remediation strategies, forming a complete intelligent closed-loop from "conflict prediction" to "collaborative remediation" to "effect verification", ensuring that network configurations maintain global consistency throughout dynamic changes.</w:t>
      </w:r>
    </w:p>
    <w:p w14:paraId="2F658F6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.2.2 Potential Requirements</w:t>
      </w:r>
    </w:p>
    <w:p w14:paraId="684294A5">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B1D7BB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semantic association modeling for global discrete configurations, in order to construct a "configuration association knowledge graph" that reflects complex logical relationships.</w:t>
      </w:r>
    </w:p>
    <w:p w14:paraId="097428A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be capable of dynamically detecting cross-layer and cross-domain configuration semantic conflicts based on graph spectrum and logical reasoning, and assessing their impact and identifying the root cause.</w:t>
      </w:r>
    </w:p>
    <w:p w14:paraId="14841F4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support the automatic generation of cross-domain collaborative repair suggestion schemes, and perform simulation verification on the schemes to ensure global consistency.</w:t>
      </w:r>
    </w:p>
    <w:p w14:paraId="465B2157">
      <w:pPr>
        <w:numPr>
          <w:ilvl w:val="0"/>
          <w:numId w:val="0"/>
        </w:numPr>
        <w:ind w:firstLine="420" w:firstLineChars="200"/>
        <w:jc w:val="both"/>
        <w:rPr>
          <w:rFonts w:hint="eastAsia" w:ascii="Segoe UI" w:hAnsi="Segoe UI" w:eastAsia="Segoe UI" w:cs="Segoe UI"/>
          <w:b/>
          <w:bCs/>
          <w:color w:val="0F1115"/>
          <w:sz w:val="21"/>
          <w:szCs w:val="21"/>
          <w:u w:val="none"/>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closed-loop effect verification after configuration changes, and utilize feedback to continuously optimize conflict detection rules and repair strategies.</w:t>
      </w:r>
    </w:p>
    <w:p w14:paraId="3B723808">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1736777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 xml:space="preserve"> Key Issue 1: Unified Semantic Modeling and Dynamic Graph Construction for Global Configurations</w:t>
      </w:r>
    </w:p>
    <w:p w14:paraId="0AEFF6F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support cross-domain and cross-layer conflict analysis, the management system needs to address how to uniformly semantically abstract discrete configuration items from different sources and granularities across the entire network, and dynamically construct and maintain a "configuration association knowledge graph" that can reflect the complex logical relationships between configurations in real time.</w:t>
      </w:r>
    </w:p>
    <w:p w14:paraId="6241A18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548C8B7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definition and publication of a standardized configuration semantic association model, which is used to formally describe configuration items, their attributes (resource type, spatio-temporal constraints, priority), and the semantic relationships between configuration items (such as conflictsWith, dependsOn, usesSameResourceAs).</w:t>
      </w:r>
    </w:p>
    <w:p w14:paraId="2B49992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provide standardized interfaces to support the on-demand or continuous collection of configuration data from various network elements, domain controllers, and management systems. It should automatically or semi-automatically extract semantic association information according to a unified model and upload it to the graph construction engine.</w:t>
      </w:r>
    </w:p>
    <w:p w14:paraId="57A96D1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be able to receive configuration change events in real-time or near real-time and drive the dynamic updating of the "Configuration-related Knowledge Graph", ensuring that the graph is always synchronized with the actual configuration state of the network.</w:t>
      </w:r>
    </w:p>
    <w:p w14:paraId="37C411E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43EB2FA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Dynamic, Context-aware Conflict Detection via Graph Reasoning</w:t>
      </w:r>
    </w:p>
    <w:p w14:paraId="362A6FE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proactively identify potential risks, the management system must address how to perform efficient and scalable graph traversal and logical reasoning based on dynamically updated configuration correlation graphs. This is to detect direct and indirect configuration semantic conflicts, and to assess the impact of conflicts and identify the root causes in conjunction with real-time network context (such as topology and load).</w:t>
      </w:r>
    </w:p>
    <w:p w14:paraId="1628844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43F0486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integrate a programmable graph inference engine that supports loading and executing conflict detection rules based on graph structure (e.g., defined using graph pattern matching language or logical rule language).</w:t>
      </w:r>
    </w:p>
    <w:p w14:paraId="34A5B03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Conflict detection should be triggered by events (such as configuration changes, new business intentions) and be able to complete the scanning and reasoning of affected subgraphs within a set time window to meet real-time requirements.</w:t>
      </w:r>
    </w:p>
    <w:p w14:paraId="5C4B27B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require the conflict detection engine to output standardized conflict reports, including conflict type, involved configuration items, impact scope assessment, severity level, and root cause configuration item localization based on graph path analysis.</w:t>
      </w:r>
    </w:p>
    <w:p w14:paraId="6EE5ABE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F851C8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Generation and Validation of Cross-domain Coordinated Remediation Strategies</w:t>
      </w:r>
    </w:p>
    <w:p w14:paraId="1E3D6F0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Upon detecting conflicts, the management system needs to address how to automatically generate a set of practical and feasible repair suggestions that are cross-domain collaborative, rather than just modifying individual configurations. It should also be able to simulate and verify the proposed solutions before implementation to ensure their effectiveness and prevent introducing new conflicts.</w:t>
      </w:r>
    </w:p>
    <w:p w14:paraId="1E699BC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6134DDF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have a built-in or integrated strategy optimization engine, capable of automatically generating one or multiple sets of cross-domain collaborative repair suggestion schemes based on conflict reports, network strategy libraries (such as business priority rules), and the current resource configuration status.</w:t>
      </w:r>
    </w:p>
    <w:p w14:paraId="6945351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provide pre-validation capabilities for the generated repair suggestions, such as simulating through "what-if analysis" whether the original conflicts are resolved in the updated graph, whether the business intentions are met, and whether new derivative conflicts will arise.</w:t>
      </w:r>
    </w:p>
    <w:p w14:paraId="71257C8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support the decomposition of verified remediation plans into specific configuration change instructions executable by each domain, and coordinate their issuance through secure and reliable standard configuration interfaces (such as NETCONF).</w:t>
      </w:r>
    </w:p>
    <w:p w14:paraId="6CFA8B6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218DA0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Assurance and Continuous Learning for Consistency Maintenance</w:t>
      </w:r>
    </w:p>
    <w:p w14:paraId="2886A1F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continuous consistency assurance, the management system needs to address how to establish a complete closed loop from "change" to "verification" and then to "optimization", monitor the actual operational effects of the remediation plan, and continuously optimize conflict detection rules and remediation strategies using feedback data.</w:t>
      </w:r>
    </w:p>
    <w:p w14:paraId="3EF6605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7D84DBA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After the implementation of the remediation plan, the management system should automatically initiate a monitoring cycle to track the actual operational KPIs of relevant configuration items, compare them with the expected effects of the remediation plan, and generate a closed-loop verification report.</w:t>
      </w:r>
    </w:p>
    <w:p w14:paraId="2E1B7F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support the associative storage of verification results (successful or failed cases), network status change data, and the original conflict context, along with the implemented remediation plans, to form a traceable and analyzable case library.</w:t>
      </w:r>
    </w:p>
    <w:p w14:paraId="06543AF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 mechanism that utilizes accumulated case data to automatically optimize the sensitivity and accuracy of conflict detection rules through machine learning or rule learning techniques, and iteratively improve the repair strategy generation algorithm.</w:t>
      </w:r>
    </w:p>
    <w:p w14:paraId="3041581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09575E7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1D0F036F">
      <w:pPr>
        <w:pStyle w:val="76"/>
        <w:rPr>
          <w:lang w:eastAsia="zh-CN"/>
        </w:rPr>
      </w:pPr>
    </w:p>
    <w:p w14:paraId="5FF5D9B3">
      <w:pPr>
        <w:pStyle w:val="76"/>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04948731"/>
      <w:bookmarkStart w:id="1" w:name="_Toc214981708"/>
      <w:bookmarkStart w:id="2" w:name="_Toc214989633"/>
      <w:bookmarkStart w:id="3" w:name="_Toc204948604"/>
      <w:bookmarkStart w:id="4" w:name="_Toc215665857"/>
      <w:bookmarkStart w:id="5" w:name="_Toc206752147"/>
      <w:bookmarkStart w:id="6" w:name="_Toc215056210"/>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4981710"/>
      <w:bookmarkStart w:id="8" w:name="_Toc215665859"/>
      <w:bookmarkStart w:id="9" w:name="_Toc215056212"/>
      <w:bookmarkStart w:id="10" w:name="_Toc214989635"/>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C34085"/>
    <w:rsid w:val="03E66A74"/>
    <w:rsid w:val="0458580D"/>
    <w:rsid w:val="04CD3654"/>
    <w:rsid w:val="07B53F8A"/>
    <w:rsid w:val="084D5F4D"/>
    <w:rsid w:val="088E0696"/>
    <w:rsid w:val="08CA4C78"/>
    <w:rsid w:val="08DD4B2A"/>
    <w:rsid w:val="09246501"/>
    <w:rsid w:val="09575C4D"/>
    <w:rsid w:val="09993220"/>
    <w:rsid w:val="09A8018A"/>
    <w:rsid w:val="0A2569C5"/>
    <w:rsid w:val="0A4A6F54"/>
    <w:rsid w:val="0B17311C"/>
    <w:rsid w:val="0B250BAE"/>
    <w:rsid w:val="0B8F0122"/>
    <w:rsid w:val="0BA076AD"/>
    <w:rsid w:val="0BC70F46"/>
    <w:rsid w:val="0BCD5941"/>
    <w:rsid w:val="0D003464"/>
    <w:rsid w:val="0D576FA9"/>
    <w:rsid w:val="0DEB68E4"/>
    <w:rsid w:val="0DF86616"/>
    <w:rsid w:val="0E041A0C"/>
    <w:rsid w:val="0E062050"/>
    <w:rsid w:val="0E3746E5"/>
    <w:rsid w:val="0EBE3A2D"/>
    <w:rsid w:val="0ED07E5C"/>
    <w:rsid w:val="0F3F1AA3"/>
    <w:rsid w:val="0F4A5BA4"/>
    <w:rsid w:val="0FF77685"/>
    <w:rsid w:val="101D7AFE"/>
    <w:rsid w:val="106A208B"/>
    <w:rsid w:val="107A1F72"/>
    <w:rsid w:val="1090155C"/>
    <w:rsid w:val="112E6EBB"/>
    <w:rsid w:val="118956E7"/>
    <w:rsid w:val="11B24841"/>
    <w:rsid w:val="11EC522D"/>
    <w:rsid w:val="11F70688"/>
    <w:rsid w:val="12394975"/>
    <w:rsid w:val="1295728D"/>
    <w:rsid w:val="13725976"/>
    <w:rsid w:val="1373053C"/>
    <w:rsid w:val="13A670CA"/>
    <w:rsid w:val="14A26281"/>
    <w:rsid w:val="15024C97"/>
    <w:rsid w:val="153041A6"/>
    <w:rsid w:val="15523360"/>
    <w:rsid w:val="15A00DC2"/>
    <w:rsid w:val="15E213DA"/>
    <w:rsid w:val="16AA4D6D"/>
    <w:rsid w:val="17221443"/>
    <w:rsid w:val="177E21A4"/>
    <w:rsid w:val="17CC31F4"/>
    <w:rsid w:val="17DD0A7A"/>
    <w:rsid w:val="195F7C30"/>
    <w:rsid w:val="198E19EC"/>
    <w:rsid w:val="19F5000A"/>
    <w:rsid w:val="1A0D324C"/>
    <w:rsid w:val="1B495788"/>
    <w:rsid w:val="1BDB2542"/>
    <w:rsid w:val="1BF451CD"/>
    <w:rsid w:val="1C091D8D"/>
    <w:rsid w:val="1CBD3C6A"/>
    <w:rsid w:val="1CF57A8F"/>
    <w:rsid w:val="1D222970"/>
    <w:rsid w:val="1D756C35"/>
    <w:rsid w:val="1D806164"/>
    <w:rsid w:val="1D854F62"/>
    <w:rsid w:val="1D8E0577"/>
    <w:rsid w:val="1E1B2A71"/>
    <w:rsid w:val="1E72493D"/>
    <w:rsid w:val="1E7A4110"/>
    <w:rsid w:val="1E8B62E2"/>
    <w:rsid w:val="1EF83782"/>
    <w:rsid w:val="1F0771F7"/>
    <w:rsid w:val="1F212DDF"/>
    <w:rsid w:val="1FD72DA6"/>
    <w:rsid w:val="20016E9F"/>
    <w:rsid w:val="207728D1"/>
    <w:rsid w:val="20D234E6"/>
    <w:rsid w:val="20EA1769"/>
    <w:rsid w:val="2124626D"/>
    <w:rsid w:val="216827F1"/>
    <w:rsid w:val="21B6105F"/>
    <w:rsid w:val="22213365"/>
    <w:rsid w:val="237F470C"/>
    <w:rsid w:val="247B506A"/>
    <w:rsid w:val="262C38EB"/>
    <w:rsid w:val="2690611C"/>
    <w:rsid w:val="26AF453E"/>
    <w:rsid w:val="26B12C2C"/>
    <w:rsid w:val="26B63CA1"/>
    <w:rsid w:val="26F61EFB"/>
    <w:rsid w:val="27747CB6"/>
    <w:rsid w:val="27775CC4"/>
    <w:rsid w:val="279C5438"/>
    <w:rsid w:val="27A20A97"/>
    <w:rsid w:val="289406A2"/>
    <w:rsid w:val="290E23A4"/>
    <w:rsid w:val="294A397A"/>
    <w:rsid w:val="298F3DBD"/>
    <w:rsid w:val="29975559"/>
    <w:rsid w:val="29FB5DB9"/>
    <w:rsid w:val="2A574444"/>
    <w:rsid w:val="2AA24C88"/>
    <w:rsid w:val="2AC352FE"/>
    <w:rsid w:val="2B044D71"/>
    <w:rsid w:val="2B1E12BC"/>
    <w:rsid w:val="2B225799"/>
    <w:rsid w:val="2B4F7D3E"/>
    <w:rsid w:val="2B552424"/>
    <w:rsid w:val="2BBB56F6"/>
    <w:rsid w:val="2C5A1CD2"/>
    <w:rsid w:val="2C602447"/>
    <w:rsid w:val="2C92725E"/>
    <w:rsid w:val="2C9A34F8"/>
    <w:rsid w:val="2CD07D87"/>
    <w:rsid w:val="2CFD6DC0"/>
    <w:rsid w:val="2D303EC8"/>
    <w:rsid w:val="2D382D71"/>
    <w:rsid w:val="2E13000A"/>
    <w:rsid w:val="2E1B70E9"/>
    <w:rsid w:val="2E32151A"/>
    <w:rsid w:val="2E517468"/>
    <w:rsid w:val="2F171C9D"/>
    <w:rsid w:val="2F3F6D74"/>
    <w:rsid w:val="2F4A23A5"/>
    <w:rsid w:val="30340BF5"/>
    <w:rsid w:val="304D1306"/>
    <w:rsid w:val="308333A6"/>
    <w:rsid w:val="31045716"/>
    <w:rsid w:val="317C5C8C"/>
    <w:rsid w:val="31837ABD"/>
    <w:rsid w:val="318F7BD4"/>
    <w:rsid w:val="31D05372"/>
    <w:rsid w:val="321C75E9"/>
    <w:rsid w:val="327C0C9B"/>
    <w:rsid w:val="330336ED"/>
    <w:rsid w:val="347325C0"/>
    <w:rsid w:val="349E40E0"/>
    <w:rsid w:val="34AC731F"/>
    <w:rsid w:val="34B064B9"/>
    <w:rsid w:val="34E53962"/>
    <w:rsid w:val="351C27B0"/>
    <w:rsid w:val="352C3FC8"/>
    <w:rsid w:val="357069B7"/>
    <w:rsid w:val="360A0D3D"/>
    <w:rsid w:val="37086AD8"/>
    <w:rsid w:val="37266088"/>
    <w:rsid w:val="374B1CF6"/>
    <w:rsid w:val="377A737C"/>
    <w:rsid w:val="37F479DA"/>
    <w:rsid w:val="38026CF0"/>
    <w:rsid w:val="38C116AD"/>
    <w:rsid w:val="38EF5674"/>
    <w:rsid w:val="393E0C76"/>
    <w:rsid w:val="39D6666B"/>
    <w:rsid w:val="39E12011"/>
    <w:rsid w:val="3A6724BC"/>
    <w:rsid w:val="3A751FF8"/>
    <w:rsid w:val="3ADF083A"/>
    <w:rsid w:val="3B1B48C3"/>
    <w:rsid w:val="3B344A3C"/>
    <w:rsid w:val="3B555A2E"/>
    <w:rsid w:val="3C75071A"/>
    <w:rsid w:val="3CE73FFB"/>
    <w:rsid w:val="3CEA3F3E"/>
    <w:rsid w:val="3D4C5F1D"/>
    <w:rsid w:val="3EC20000"/>
    <w:rsid w:val="3F246E28"/>
    <w:rsid w:val="3F2665DB"/>
    <w:rsid w:val="3F855340"/>
    <w:rsid w:val="3FA6711C"/>
    <w:rsid w:val="40F62955"/>
    <w:rsid w:val="41A832C4"/>
    <w:rsid w:val="42406AE6"/>
    <w:rsid w:val="429D0359"/>
    <w:rsid w:val="44126C12"/>
    <w:rsid w:val="44AD6911"/>
    <w:rsid w:val="454937BA"/>
    <w:rsid w:val="4564347D"/>
    <w:rsid w:val="456C1863"/>
    <w:rsid w:val="45C72144"/>
    <w:rsid w:val="45E45D6C"/>
    <w:rsid w:val="4603066A"/>
    <w:rsid w:val="46942157"/>
    <w:rsid w:val="472707CD"/>
    <w:rsid w:val="47412287"/>
    <w:rsid w:val="47800E5B"/>
    <w:rsid w:val="47CD093E"/>
    <w:rsid w:val="481E765C"/>
    <w:rsid w:val="48FB1A87"/>
    <w:rsid w:val="494278AB"/>
    <w:rsid w:val="49635A3D"/>
    <w:rsid w:val="499F2B63"/>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6B78DB"/>
    <w:rsid w:val="4FE528A4"/>
    <w:rsid w:val="500A39DE"/>
    <w:rsid w:val="50B15470"/>
    <w:rsid w:val="513F61A5"/>
    <w:rsid w:val="52B85BC6"/>
    <w:rsid w:val="52DC127D"/>
    <w:rsid w:val="534F3992"/>
    <w:rsid w:val="535A0236"/>
    <w:rsid w:val="54F85E13"/>
    <w:rsid w:val="550259DF"/>
    <w:rsid w:val="55AF2A84"/>
    <w:rsid w:val="565076BF"/>
    <w:rsid w:val="56635347"/>
    <w:rsid w:val="56E53CCF"/>
    <w:rsid w:val="577B33D6"/>
    <w:rsid w:val="57A85FDD"/>
    <w:rsid w:val="583E1753"/>
    <w:rsid w:val="584026D9"/>
    <w:rsid w:val="58547A61"/>
    <w:rsid w:val="58CE3242"/>
    <w:rsid w:val="58F94086"/>
    <w:rsid w:val="59514F24"/>
    <w:rsid w:val="5A006E37"/>
    <w:rsid w:val="5C1E54E6"/>
    <w:rsid w:val="5C465896"/>
    <w:rsid w:val="5C4A4BB0"/>
    <w:rsid w:val="5C5656FB"/>
    <w:rsid w:val="5C575ECB"/>
    <w:rsid w:val="5CE7687A"/>
    <w:rsid w:val="5DDE1391"/>
    <w:rsid w:val="5DDF358F"/>
    <w:rsid w:val="5E3F3F3F"/>
    <w:rsid w:val="5E6D2A13"/>
    <w:rsid w:val="5ED26F4F"/>
    <w:rsid w:val="5F925B11"/>
    <w:rsid w:val="60526897"/>
    <w:rsid w:val="60CF4A66"/>
    <w:rsid w:val="60FF0AFD"/>
    <w:rsid w:val="612D3C7B"/>
    <w:rsid w:val="616F244D"/>
    <w:rsid w:val="61765028"/>
    <w:rsid w:val="622B1C79"/>
    <w:rsid w:val="624E0F13"/>
    <w:rsid w:val="62F92F29"/>
    <w:rsid w:val="63175A08"/>
    <w:rsid w:val="634C17BE"/>
    <w:rsid w:val="63FE731D"/>
    <w:rsid w:val="64400562"/>
    <w:rsid w:val="645268DD"/>
    <w:rsid w:val="64555BC0"/>
    <w:rsid w:val="64E50514"/>
    <w:rsid w:val="650006E3"/>
    <w:rsid w:val="6607602D"/>
    <w:rsid w:val="661C6EBD"/>
    <w:rsid w:val="667154C6"/>
    <w:rsid w:val="66C45526"/>
    <w:rsid w:val="66D457C1"/>
    <w:rsid w:val="66DF73D5"/>
    <w:rsid w:val="66F74A7C"/>
    <w:rsid w:val="674C151B"/>
    <w:rsid w:val="676705B3"/>
    <w:rsid w:val="67F25F98"/>
    <w:rsid w:val="680B7554"/>
    <w:rsid w:val="680F7AC7"/>
    <w:rsid w:val="681364CD"/>
    <w:rsid w:val="682341A6"/>
    <w:rsid w:val="683226F9"/>
    <w:rsid w:val="68380F62"/>
    <w:rsid w:val="68425464"/>
    <w:rsid w:val="68745F2D"/>
    <w:rsid w:val="68AF601C"/>
    <w:rsid w:val="691B590A"/>
    <w:rsid w:val="69393D31"/>
    <w:rsid w:val="69424D99"/>
    <w:rsid w:val="69586B2A"/>
    <w:rsid w:val="698450AA"/>
    <w:rsid w:val="69F273EE"/>
    <w:rsid w:val="69FF685E"/>
    <w:rsid w:val="6A16241A"/>
    <w:rsid w:val="6A2349DC"/>
    <w:rsid w:val="6A2F5543"/>
    <w:rsid w:val="6AA50A05"/>
    <w:rsid w:val="6AF44007"/>
    <w:rsid w:val="6B667481"/>
    <w:rsid w:val="6BE50B5D"/>
    <w:rsid w:val="6C7F49DE"/>
    <w:rsid w:val="6CAE6026"/>
    <w:rsid w:val="6CC22A42"/>
    <w:rsid w:val="6D717E9F"/>
    <w:rsid w:val="6E41530E"/>
    <w:rsid w:val="6E8822D0"/>
    <w:rsid w:val="6F131548"/>
    <w:rsid w:val="6FC80329"/>
    <w:rsid w:val="70CA25C0"/>
    <w:rsid w:val="711815B5"/>
    <w:rsid w:val="718501AF"/>
    <w:rsid w:val="71D85554"/>
    <w:rsid w:val="71EE645F"/>
    <w:rsid w:val="72432714"/>
    <w:rsid w:val="72565E22"/>
    <w:rsid w:val="727A2A79"/>
    <w:rsid w:val="72A24EE4"/>
    <w:rsid w:val="738F7283"/>
    <w:rsid w:val="739F4EC0"/>
    <w:rsid w:val="73F84155"/>
    <w:rsid w:val="73FE3C1B"/>
    <w:rsid w:val="7450169B"/>
    <w:rsid w:val="74D61027"/>
    <w:rsid w:val="74E4243A"/>
    <w:rsid w:val="76091AB6"/>
    <w:rsid w:val="765353AD"/>
    <w:rsid w:val="769E5A34"/>
    <w:rsid w:val="76DC2836"/>
    <w:rsid w:val="76F667DF"/>
    <w:rsid w:val="77000D49"/>
    <w:rsid w:val="77114A0B"/>
    <w:rsid w:val="7728668A"/>
    <w:rsid w:val="77D36B23"/>
    <w:rsid w:val="782557BB"/>
    <w:rsid w:val="78F64351"/>
    <w:rsid w:val="79317DBC"/>
    <w:rsid w:val="798110B1"/>
    <w:rsid w:val="79B64C9F"/>
    <w:rsid w:val="79E14685"/>
    <w:rsid w:val="79EA0F1A"/>
    <w:rsid w:val="7A0177CE"/>
    <w:rsid w:val="7A083C89"/>
    <w:rsid w:val="7A3E6F9D"/>
    <w:rsid w:val="7A576F7D"/>
    <w:rsid w:val="7B492B25"/>
    <w:rsid w:val="7B523A2D"/>
    <w:rsid w:val="7B5D0D24"/>
    <w:rsid w:val="7BA07DAA"/>
    <w:rsid w:val="7BB6521A"/>
    <w:rsid w:val="7C05637D"/>
    <w:rsid w:val="7C5867DC"/>
    <w:rsid w:val="7C792C12"/>
    <w:rsid w:val="7C811F23"/>
    <w:rsid w:val="7CEA2CFB"/>
    <w:rsid w:val="7D8A0903"/>
    <w:rsid w:val="7D8F476B"/>
    <w:rsid w:val="7DB139A6"/>
    <w:rsid w:val="7DB71466"/>
    <w:rsid w:val="7DF76D39"/>
    <w:rsid w:val="7E2D723B"/>
    <w:rsid w:val="7E851E42"/>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3723</Words>
  <Characters>24295</Characters>
  <Lines>24</Lines>
  <Paragraphs>6</Paragraphs>
  <TotalTime>35</TotalTime>
  <ScaleCrop>false</ScaleCrop>
  <LinksUpToDate>false</LinksUpToDate>
  <CharactersWithSpaces>27905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2026-01-29T06:27:28Z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6DEA54548F144B3FB467F9500CFC71AD_13</vt:lpwstr>
  </property>
  <property fmtid="{D5CDD505-2E9C-101B-9397-08002B2CF9AE}" pid="5" name="KSOTemplateDocerSaveRecord">
    <vt:lpwstr>eyJoZGlkIjoiMzYwYWE2ZGE2OWRmMDA1ZTU4MTc3YjdhOWM1NzIzMTkiLCJ1c2VySWQiOiIxNzgxODczODYxIn0=</vt:lpwstr>
  </property>
</Properties>
</file>